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54</w:t>
      </w:r>
    </w:p>
    <w:p>
      <w:r>
        <w:t>Bundesgericht (BGE), 1984-05-17, DE</w:t>
      </w:r>
    </w:p>
    <w:p>
      <w:r>
        <w:rPr>
          <w:b/>
        </w:rPr>
        <w:t xml:space="preserve">Quelle: </w:t>
      </w:r>
      <w:r>
        <w:t>https://mcp.opencaselaw.ch/entscheid/bge_110 IV 54</w:t>
      </w:r>
    </w:p>
    <w:p>
      <w:r>
        <w:t>FR: ATF 110 IV 54</w:t>
      </w:r>
    </w:p>
    <w:p>
      <w:r>
        <w:t>IT: DTF 110 IV 54</w:t>
      </w:r>
    </w:p>
    <w:p>
      <w:pPr>
        <w:pStyle w:val="Heading2"/>
      </w:pPr>
      <w:r>
        <w:t>Regeste</w:t>
      </w:r>
    </w:p>
    <w:p>
      <w:r>
        <w:t>Regeste Bundesgesetz über die Verrechnungssteuer. Wer seiner Pflicht zur Erteilung von Auskünften nach Art. 21 Abs. 4 VStV (SR 642.211) nicht oder nur ungenügend nachkommt, macht sich einer Übertretung i.S. von Art. 62 Abs. 1 lit. a VStG schuldig, ohne dass noch eine konkrete Gefährdung der Durchführung der Steuer nachgewiesen werden muss.</w:t>
      </w:r>
    </w:p>
    <w:p>
      <w:pPr>
        <w:pStyle w:val="Heading2"/>
      </w:pPr>
      <w:r>
        <w:t>Erwägungen</w:t>
      </w:r>
    </w:p>
    <w:p>
      <w:r>
        <w:rPr>
          <w:b/>
        </w:rPr>
        <w:t>E. 3</w:t>
      </w:r>
    </w:p>
    <w:p>
      <w:r>
        <w:t>Das Obergericht anerkennt, dass Art. 62 Abs. 1 lit. a VStG nicht nur die Verletzung der Pflicht zur Einreichung der in Art. 21 Abs. 1 VStV genannten Belege und Unterlagen und der daran anschliessenden Bezahlung der Steuer erfasst, sondern auch die Missachtung der in Abs. 4 dieses Artikels verlangten Obliegenheiten (Mitteilung des Grundes der Verzögerung und des mutmasslichen Zeitpunkts der Rechnungsabnahme vor Ablauf des siebenten Monats nach Beendigung des Geschäftsjahres). Auch hat die Vorinstanz in casu eine Pflichtverletzung des Beschwerdegegners im letzteren Sinne bejaht. Sie hat diesen aber dennoch deswegen freigesprochen, weil Art. 62 Abs. 1 VStG erfordere, dass durch die tatbestandsmässige Handlung die "Durchführung" der Verrechnungssteuer gefährdet werde und eine solche Gefahr hier nicht geschaffen worden sei. a) Im Verständnis der Vorinstanz setzt Art. 62 Abs. 1 lit. a VStG eine konkrete Gefährdung der Durchführung der Steuer als Folge der tatbestandsmässigen Handlung voraus. Indessen erscheint es schon aufgrund des Gesetzeswortlauts als zweifelhaft, ob nach dieser Bestimmung zusätzlich zu jener Handlung eine solche Gefahr erwiesen sein muss, macht sich nach Art. 62 Abs. 1 lit. a VStG doch strafbar, wer die gesetzmässige Durchführung der Verrechnungssteuer gefährdet, indem er vorsätzlich oder fahrlässig im Steuererhebungsverfahren der Pflicht zur Einreichung von Steuererklärungen, Aufstellungen und Abrechnungen usw. nicht nachkommt. Nach dieser Fassung liegt der gesetzgeberische Akzent eindeutig auf der Vernachlässigung der vorgeschriebenen Mitwirkungspflicht, die eo ipso eine Gefahr für die gesetzmässige Durchführung der Steuer einschliesst und deshalb an sich strafwürdig ist. In dieselbe Richtung weist die Natur der hier in Frage stehenden Steuer. Die Verrechnungssteuer ist eine sogenannte Selbstveranlagungssteuer; die Feststellung der Steuerforderung geht ausschliesslich vom Steuerpflichtigen selber aus, indem dieser sich unaufgefordert bei der EStV anzumelden, die vorgeschriebene Abrechnung mit Belegen einzureichen und gleichzeitig die Steuer zu entrichten hat ( Art. 38 Abs. 1 und 2 VStG ). Das steuerfordernde BGE 110 IV 54 S. 58 Gemeinwesen mischt sich in die Veranlagung nicht ein, sondern beschränkt sich zu deren Sicherung auf eine amtliche Kontrolle oder Aufsicht (BLUMENSTEIN, System des Steuerrechts, 3. Aufl. 1971, S. 351 und 385 ff.). Um der EStV die in Art. 40 VStG vorgesehene Kontrolle zu ermöglichen, hat der Steuerpflichtige ihr die seiner Veranlagung zugrunde liegenden Belege, namentlich den Geschäftsbericht oder eine unterzeichnete Abschrift der Jahresrechnung usw. ( Art. 21 Abs. 1 VStV ) einzureichen. Dass dies rechtzeitig, d.h. innert angemessener Frist nach Beendigung des Geschäftsjahres zu geschehen hat, versteht sich von selbst, wird doch die amtliche Kontrolle geschäftlicher Abläufe mit zunehmender zeitlicher Entfernung von den zu kontrollierenden Fakten stets schwieriger. Aus diesem Grunde sieht Art. 21 Abs. 4 VStV , der übrigens an die Art. 698 Abs. 2 Ziff. 3 i.V.m. Art. 699 Abs. 2 und Art. 724 OR anschliesst, vor, dass bei Nichtgenehmigung der Jahresrechnung innert sechs Monaten nach Ablauf des Geschäftsjahres die Gesellschaft der EStV vor Ablauf des siebenten Monats den Grund der Verzögerung und den mutmasslichen Zeitpunkt der Rechnungsabnahme mitzuteilen hat. Damit soll gewährleistet werden, dass die EStV im Fall einer Verzögerung der Selbstveranlagung rechtzeitig kontrollieren kann, ob die Säumnis durch stichhaltige Gründe bedingt ist oder ob blosse Nachlässigkeit, Trölerei oder gar absichtliche Machenschaften dahinterstehen. Gibt die Gesellschaft keine oder ungenügende Gründe für die Säumnis an, besteht Ungewissheit darüber, wie es sich damit verhält. Durch diese Ungewissheit aber wird der Entscheid der EStV über das weitere Vorgehen erschwert und damit die Durchführung der amtlichen Kontrolle beeinträchtigt. Das aber muss zur Erfüllung des objektiven Tatbestandes des Art. 62 Abs. 1 lit. a VStG genügen, ohne dass darüber hinaus eine konkrete Gefährdung der Durchführung der Verrechnungssteuer oder gar des Steuerbezugs selber nachgewiesen werden müsste (W. R. PFUND, Das Steuerstrafrecht, 1954, S. 71); denn die genannte Bestimmung, die als Strafe bloss Busse vorsieht und sicherstellen will, dass der Steuerpflichtige seinen Mitwirkungspflichten nachkommt, stellt einen blossen Ungehorsamstatbestand dar, der ähnlich den Art. 323 und 324 StGB bereits mit der Begehung der tatbestandsmässigen Handlung erfüllt ist. Das hat die Vorinstanz verkannt. b) Da nach ihrem Urteil feststeht, dass S. als verantwortliches Organ der W. AG seiner Pflicht zur Erteilung der Auskünfte nach Art. 21 Abs. 4 VStV zum Teil überhaupt nicht, zum Teil nur BGE 110 IV 54 S. 59 ungenügend nachgekommen ist, ist der objektive Tatbestand des Art. 62 Abs. 1 lit. a VStG gegeben. Der angefochtene Entscheid ist deshalb aufzuheben und die Sache zurückzuweisen, damit die Vorinstanz sich noch zum subjektiven Tatbestand ausspreche und entsprechend dem Ergebnis ihrer neuen Prüfung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